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B0F04" w14:textId="077D19FB" w:rsidR="0015062E" w:rsidRDefault="00000000">
      <w:pPr>
        <w:pStyle w:val="Body"/>
      </w:pPr>
      <w:r>
        <w:rPr>
          <w:noProof/>
        </w:rPr>
        <mc:AlternateContent>
          <mc:Choice Requires="wps">
            <w:drawing>
              <wp:anchor distT="152400" distB="152400" distL="152400" distR="152400" simplePos="0" relativeHeight="251664384" behindDoc="0" locked="0" layoutInCell="1" allowOverlap="1" wp14:anchorId="5314D4F9" wp14:editId="1DFEE203">
                <wp:simplePos x="0" y="0"/>
                <wp:positionH relativeFrom="margin">
                  <wp:posOffset>-114300</wp:posOffset>
                </wp:positionH>
                <wp:positionV relativeFrom="line">
                  <wp:posOffset>259080</wp:posOffset>
                </wp:positionV>
                <wp:extent cx="6972300" cy="4991100"/>
                <wp:effectExtent l="0" t="0" r="0" b="0"/>
                <wp:wrapTopAndBottom distT="152400" distB="152400"/>
                <wp:docPr id="1073741826" name="officeArt object"/>
                <wp:cNvGraphicFramePr/>
                <a:graphic xmlns:a="http://schemas.openxmlformats.org/drawingml/2006/main">
                  <a:graphicData uri="http://schemas.microsoft.com/office/word/2010/wordprocessingShape">
                    <wps:wsp>
                      <wps:cNvSpPr/>
                      <wps:spPr>
                        <a:xfrm>
                          <a:off x="0" y="0"/>
                          <a:ext cx="6972300" cy="4991100"/>
                        </a:xfrm>
                        <a:prstGeom prst="rect">
                          <a:avLst/>
                        </a:prstGeom>
                        <a:noFill/>
                        <a:ln w="12700" cap="flat">
                          <a:noFill/>
                          <a:miter lim="400000"/>
                        </a:ln>
                        <a:effectLst/>
                      </wps:spPr>
                      <wps:txbx>
                        <w:txbxContent>
                          <w:p w14:paraId="47A827C2" w14:textId="77777777" w:rsidR="0015062E" w:rsidRDefault="00000000">
                            <w:pPr>
                              <w:pStyle w:val="Caption"/>
                              <w:tabs>
                                <w:tab w:val="left" w:pos="1440"/>
                                <w:tab w:val="left" w:pos="2880"/>
                                <w:tab w:val="left" w:pos="4320"/>
                                <w:tab w:val="left" w:pos="5760"/>
                                <w:tab w:val="left" w:pos="7200"/>
                                <w:tab w:val="left" w:pos="8640"/>
                              </w:tabs>
                              <w:jc w:val="center"/>
                              <w:rPr>
                                <w:rFonts w:ascii="Times New Roman" w:eastAsia="Times New Roman" w:hAnsi="Times New Roman" w:cs="Times New Roman"/>
                                <w:b/>
                                <w:bCs/>
                                <w:sz w:val="48"/>
                                <w:szCs w:val="48"/>
                              </w:rPr>
                            </w:pPr>
                            <w:r>
                              <w:rPr>
                                <w:rFonts w:ascii="Times New Roman" w:hAnsi="Times New Roman"/>
                                <w:b/>
                                <w:bCs/>
                                <w:sz w:val="48"/>
                                <w:szCs w:val="48"/>
                              </w:rPr>
                              <w:t>Climate Guide Fact-Sheet Addendum</w:t>
                            </w:r>
                          </w:p>
                          <w:p w14:paraId="190A29D3" w14:textId="77777777" w:rsidR="0015062E" w:rsidRDefault="00000000">
                            <w:pPr>
                              <w:pStyle w:val="Caption"/>
                              <w:tabs>
                                <w:tab w:val="left" w:pos="1440"/>
                                <w:tab w:val="left" w:pos="2880"/>
                                <w:tab w:val="left" w:pos="4320"/>
                                <w:tab w:val="left" w:pos="5760"/>
                                <w:tab w:val="left" w:pos="7200"/>
                                <w:tab w:val="left" w:pos="8640"/>
                              </w:tabs>
                              <w:jc w:val="center"/>
                              <w:rPr>
                                <w:rFonts w:ascii="Times New Roman" w:eastAsia="Times New Roman" w:hAnsi="Times New Roman" w:cs="Times New Roman"/>
                                <w:b/>
                                <w:bCs/>
                                <w:sz w:val="48"/>
                                <w:szCs w:val="48"/>
                              </w:rPr>
                            </w:pPr>
                            <w:r>
                              <w:rPr>
                                <w:rFonts w:ascii="Times New Roman" w:hAnsi="Times New Roman"/>
                                <w:b/>
                                <w:bCs/>
                                <w:sz w:val="48"/>
                                <w:szCs w:val="48"/>
                              </w:rPr>
                              <w:t>Climate Crises and Carbon Trading</w:t>
                            </w:r>
                          </w:p>
                          <w:p w14:paraId="35F35028" w14:textId="77777777" w:rsidR="0015062E" w:rsidRDefault="0015062E">
                            <w:pPr>
                              <w:pStyle w:val="Caption"/>
                              <w:tabs>
                                <w:tab w:val="left" w:pos="1440"/>
                                <w:tab w:val="left" w:pos="2880"/>
                                <w:tab w:val="left" w:pos="4320"/>
                                <w:tab w:val="left" w:pos="5760"/>
                                <w:tab w:val="left" w:pos="7200"/>
                                <w:tab w:val="left" w:pos="8640"/>
                              </w:tabs>
                              <w:jc w:val="center"/>
                              <w:rPr>
                                <w:rFonts w:ascii="Times New Roman" w:eastAsia="Times New Roman" w:hAnsi="Times New Roman" w:cs="Times New Roman"/>
                                <w:b/>
                                <w:bCs/>
                                <w:sz w:val="48"/>
                                <w:szCs w:val="48"/>
                              </w:rPr>
                            </w:pPr>
                          </w:p>
                          <w:p w14:paraId="5256D377" w14:textId="63928820" w:rsidR="0015062E" w:rsidRDefault="00000000">
                            <w:pPr>
                              <w:pStyle w:val="Caption"/>
                              <w:tabs>
                                <w:tab w:val="left" w:pos="1440"/>
                                <w:tab w:val="left" w:pos="2880"/>
                                <w:tab w:val="left" w:pos="4320"/>
                                <w:tab w:val="left" w:pos="5760"/>
                                <w:tab w:val="left" w:pos="7200"/>
                                <w:tab w:val="left" w:pos="8640"/>
                              </w:tabs>
                              <w:rPr>
                                <w:rStyle w:val="Link"/>
                                <w:rFonts w:ascii="Times New Roman" w:eastAsia="Times New Roman" w:hAnsi="Times New Roman" w:cs="Times New Roman"/>
                                <w:sz w:val="28"/>
                                <w:szCs w:val="28"/>
                              </w:rPr>
                            </w:pPr>
                            <w:r>
                              <w:rPr>
                                <w:rFonts w:ascii="Times New Roman" w:hAnsi="Times New Roman"/>
                                <w:sz w:val="28"/>
                                <w:szCs w:val="28"/>
                              </w:rPr>
                              <w:t>Carbon trading has taken over the talk about zero missions for communities of all sizes. Governments have seen the utility of using widely accepted vehicles for cutting GHG emissions via bookkeeping rather than nuts-and-bolts techniques. Unfortunately</w:t>
                            </w:r>
                            <w:r w:rsidR="008A678E">
                              <w:rPr>
                                <w:rFonts w:ascii="Times New Roman" w:hAnsi="Times New Roman"/>
                                <w:sz w:val="28"/>
                                <w:szCs w:val="28"/>
                              </w:rPr>
                              <w:t>,</w:t>
                            </w:r>
                            <w:r>
                              <w:rPr>
                                <w:rFonts w:ascii="Times New Roman" w:hAnsi="Times New Roman"/>
                                <w:sz w:val="28"/>
                                <w:szCs w:val="28"/>
                              </w:rPr>
                              <w:t xml:space="preserve"> some of these vehicles have severe drawbacks and hidden flaws perhaps not seen by certification services. A good place to start is a general overview such as this article by </w:t>
                            </w:r>
                            <w:r>
                              <w:rPr>
                                <w:rFonts w:ascii="Times New Roman" w:hAnsi="Times New Roman"/>
                                <w:b/>
                                <w:bCs/>
                                <w:sz w:val="28"/>
                                <w:szCs w:val="28"/>
                              </w:rPr>
                              <w:t xml:space="preserve">Standard &amp; Poors:  </w:t>
                            </w:r>
                            <w:r>
                              <w:rPr>
                                <w:rStyle w:val="Link"/>
                                <w:rFonts w:ascii="Times New Roman" w:hAnsi="Times New Roman"/>
                                <w:sz w:val="28"/>
                                <w:szCs w:val="28"/>
                              </w:rPr>
                              <w:t>https://www.spglobal.com/esg/insights/carbon-offsets-prove-risky-business-for-net-zero-targets?utm_medium=cpc&amp;utm_source=google&amp;utm_campaign=Carbon_Search&amp;utm_term=carbon&amp;offsets&amp;utm_content=534418150281&amp;gclid=Cj0KCQjwuaiXBhCCARIsAKZLt3mp5oMOqqHYzAm93plAhL46yJ3V2urrNCcbr6iDBI4pR9GL1eM5CC8aApYdEALw_wcB</w:t>
                            </w:r>
                          </w:p>
                          <w:p w14:paraId="67FB5A43" w14:textId="77777777" w:rsidR="0015062E" w:rsidRDefault="0015062E">
                            <w:pPr>
                              <w:pStyle w:val="Caption"/>
                              <w:tabs>
                                <w:tab w:val="left" w:pos="1440"/>
                                <w:tab w:val="left" w:pos="2880"/>
                                <w:tab w:val="left" w:pos="4320"/>
                                <w:tab w:val="left" w:pos="5760"/>
                                <w:tab w:val="left" w:pos="7200"/>
                                <w:tab w:val="left" w:pos="8640"/>
                              </w:tabs>
                            </w:pPr>
                          </w:p>
                        </w:txbxContent>
                      </wps:txbx>
                      <wps:bodyPr wrap="square" lIns="45719" tIns="45719" rIns="45719" bIns="45719" numCol="1" anchor="t">
                        <a:noAutofit/>
                      </wps:bodyPr>
                    </wps:wsp>
                  </a:graphicData>
                </a:graphic>
                <wp14:sizeRelH relativeFrom="margin">
                  <wp14:pctWidth>0</wp14:pctWidth>
                </wp14:sizeRelH>
                <wp14:sizeRelV relativeFrom="margin">
                  <wp14:pctHeight>0</wp14:pctHeight>
                </wp14:sizeRelV>
              </wp:anchor>
            </w:drawing>
          </mc:Choice>
          <mc:Fallback>
            <w:pict>
              <v:rect w14:anchorId="5314D4F9" id="officeArt object" o:spid="_x0000_s1026" style="position:absolute;margin-left:-9pt;margin-top:20.4pt;width:549pt;height:393pt;z-index:251664384;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" filled="f" stroked="f" strokeweight="1pt">
                <v:stroke miterlimit="4"/>
                <v:textbox inset="1.27mm,1.27mm,1.27mm,1.27mm">
                  <w:txbxContent>
                    <w:p w14:paraId="47A827C2" w14:textId="77777777" w:rsidR="0015062E" w:rsidRDefault="00000000">
                      <w:pPr>
                        <w:pStyle w:val="Caption"/>
                        <w:tabs>
                          <w:tab w:val="left" w:pos="1440"/>
                          <w:tab w:val="left" w:pos="2880"/>
                          <w:tab w:val="left" w:pos="4320"/>
                          <w:tab w:val="left" w:pos="5760"/>
                          <w:tab w:val="left" w:pos="7200"/>
                          <w:tab w:val="left" w:pos="8640"/>
                        </w:tabs>
                        <w:jc w:val="center"/>
                        <w:rPr>
                          <w:rFonts w:ascii="Times New Roman" w:eastAsia="Times New Roman" w:hAnsi="Times New Roman" w:cs="Times New Roman"/>
                          <w:b/>
                          <w:bCs/>
                          <w:sz w:val="48"/>
                          <w:szCs w:val="48"/>
                        </w:rPr>
                      </w:pPr>
                      <w:r>
                        <w:rPr>
                          <w:rFonts w:ascii="Times New Roman" w:hAnsi="Times New Roman"/>
                          <w:b/>
                          <w:bCs/>
                          <w:sz w:val="48"/>
                          <w:szCs w:val="48"/>
                        </w:rPr>
                        <w:t>Climate Guide Fact-Sheet Addendum</w:t>
                      </w:r>
                    </w:p>
                    <w:p w14:paraId="190A29D3" w14:textId="77777777" w:rsidR="0015062E" w:rsidRDefault="00000000">
                      <w:pPr>
                        <w:pStyle w:val="Caption"/>
                        <w:tabs>
                          <w:tab w:val="left" w:pos="1440"/>
                          <w:tab w:val="left" w:pos="2880"/>
                          <w:tab w:val="left" w:pos="4320"/>
                          <w:tab w:val="left" w:pos="5760"/>
                          <w:tab w:val="left" w:pos="7200"/>
                          <w:tab w:val="left" w:pos="8640"/>
                        </w:tabs>
                        <w:jc w:val="center"/>
                        <w:rPr>
                          <w:rFonts w:ascii="Times New Roman" w:eastAsia="Times New Roman" w:hAnsi="Times New Roman" w:cs="Times New Roman"/>
                          <w:b/>
                          <w:bCs/>
                          <w:sz w:val="48"/>
                          <w:szCs w:val="48"/>
                        </w:rPr>
                      </w:pPr>
                      <w:r>
                        <w:rPr>
                          <w:rFonts w:ascii="Times New Roman" w:hAnsi="Times New Roman"/>
                          <w:b/>
                          <w:bCs/>
                          <w:sz w:val="48"/>
                          <w:szCs w:val="48"/>
                        </w:rPr>
                        <w:t>Climate Crises and Carbon Trading</w:t>
                      </w:r>
                    </w:p>
                    <w:p w14:paraId="35F35028" w14:textId="77777777" w:rsidR="0015062E" w:rsidRDefault="0015062E">
                      <w:pPr>
                        <w:pStyle w:val="Caption"/>
                        <w:tabs>
                          <w:tab w:val="left" w:pos="1440"/>
                          <w:tab w:val="left" w:pos="2880"/>
                          <w:tab w:val="left" w:pos="4320"/>
                          <w:tab w:val="left" w:pos="5760"/>
                          <w:tab w:val="left" w:pos="7200"/>
                          <w:tab w:val="left" w:pos="8640"/>
                        </w:tabs>
                        <w:jc w:val="center"/>
                        <w:rPr>
                          <w:rFonts w:ascii="Times New Roman" w:eastAsia="Times New Roman" w:hAnsi="Times New Roman" w:cs="Times New Roman"/>
                          <w:b/>
                          <w:bCs/>
                          <w:sz w:val="48"/>
                          <w:szCs w:val="48"/>
                        </w:rPr>
                      </w:pPr>
                    </w:p>
                    <w:p w14:paraId="5256D377" w14:textId="63928820" w:rsidR="0015062E" w:rsidRDefault="00000000">
                      <w:pPr>
                        <w:pStyle w:val="Caption"/>
                        <w:tabs>
                          <w:tab w:val="left" w:pos="1440"/>
                          <w:tab w:val="left" w:pos="2880"/>
                          <w:tab w:val="left" w:pos="4320"/>
                          <w:tab w:val="left" w:pos="5760"/>
                          <w:tab w:val="left" w:pos="7200"/>
                          <w:tab w:val="left" w:pos="8640"/>
                        </w:tabs>
                        <w:rPr>
                          <w:rStyle w:val="Link"/>
                          <w:rFonts w:ascii="Times New Roman" w:eastAsia="Times New Roman" w:hAnsi="Times New Roman" w:cs="Times New Roman"/>
                          <w:sz w:val="28"/>
                          <w:szCs w:val="28"/>
                        </w:rPr>
                      </w:pPr>
                      <w:r>
                        <w:rPr>
                          <w:rFonts w:ascii="Times New Roman" w:hAnsi="Times New Roman"/>
                          <w:sz w:val="28"/>
                          <w:szCs w:val="28"/>
                        </w:rPr>
                        <w:t>Carbon trading has taken over the talk about zero missions for communities of all sizes. Governments have seen the utility of using widely accepted vehicles for cutting GHG emissions via bookkeeping rather than nuts-and-bolts techniques. Unfortunately</w:t>
                      </w:r>
                      <w:r w:rsidR="008A678E">
                        <w:rPr>
                          <w:rFonts w:ascii="Times New Roman" w:hAnsi="Times New Roman"/>
                          <w:sz w:val="28"/>
                          <w:szCs w:val="28"/>
                        </w:rPr>
                        <w:t>,</w:t>
                      </w:r>
                      <w:r>
                        <w:rPr>
                          <w:rFonts w:ascii="Times New Roman" w:hAnsi="Times New Roman"/>
                          <w:sz w:val="28"/>
                          <w:szCs w:val="28"/>
                        </w:rPr>
                        <w:t xml:space="preserve"> some of these vehicles have severe drawbacks and hidden flaws perhaps not seen by certification services. A good place to start is a general overview such as this article by </w:t>
                      </w:r>
                      <w:r>
                        <w:rPr>
                          <w:rFonts w:ascii="Times New Roman" w:hAnsi="Times New Roman"/>
                          <w:b/>
                          <w:bCs/>
                          <w:sz w:val="28"/>
                          <w:szCs w:val="28"/>
                        </w:rPr>
                        <w:t xml:space="preserve">Standard &amp; Poors:  </w:t>
                      </w:r>
                      <w:r>
                        <w:rPr>
                          <w:rStyle w:val="Link"/>
                          <w:rFonts w:ascii="Times New Roman" w:hAnsi="Times New Roman"/>
                          <w:sz w:val="28"/>
                          <w:szCs w:val="28"/>
                        </w:rPr>
                        <w:t>https://www.spglobal.com/esg/insights/carbon-offsets-prove-risky-business-for-net-zero-targets?utm_medium=cpc&amp;utm_source=google&amp;utm_campaign=Carbon_Search&amp;utm_term=carbon&amp;offsets&amp;utm_content=534418150281&amp;gclid=Cj0KCQjwuaiXBhCCARIsAKZLt3mp5oMOqqHYzAm93plAhL46yJ3V2urrNCcbr6iDBI4pR9GL1eM5CC8aApYdEALw_wcB</w:t>
                      </w:r>
                    </w:p>
                    <w:p w14:paraId="67FB5A43" w14:textId="77777777" w:rsidR="0015062E" w:rsidRDefault="0015062E">
                      <w:pPr>
                        <w:pStyle w:val="Caption"/>
                        <w:tabs>
                          <w:tab w:val="left" w:pos="1440"/>
                          <w:tab w:val="left" w:pos="2880"/>
                          <w:tab w:val="left" w:pos="4320"/>
                          <w:tab w:val="left" w:pos="5760"/>
                          <w:tab w:val="left" w:pos="7200"/>
                          <w:tab w:val="left" w:pos="8640"/>
                        </w:tabs>
                      </w:pPr>
                    </w:p>
                  </w:txbxContent>
                </v:textbox>
                <w10:wrap type="topAndBottom" anchorx="margin" anchory="line"/>
              </v:rect>
            </w:pict>
          </mc:Fallback>
        </mc:AlternateContent>
      </w:r>
      <w:r>
        <w:rPr>
          <w:rFonts w:ascii="Arial Unicode MS" w:hAnsi="Arial Unicode MS"/>
        </w:rPr>
        <w:br w:type="page"/>
      </w:r>
    </w:p>
    <w:p w14:paraId="28CBC2A1" w14:textId="77777777" w:rsidR="0015062E" w:rsidRDefault="00000000">
      <w:pPr>
        <w:pStyle w:val="Body"/>
      </w:pPr>
      <w:r>
        <w:rPr>
          <w:noProof/>
        </w:rPr>
        <w:lastRenderedPageBreak/>
        <mc:AlternateContent>
          <mc:Choice Requires="wps">
            <w:drawing>
              <wp:anchor distT="0" distB="0" distL="0" distR="0" simplePos="0" relativeHeight="251659264" behindDoc="0" locked="0" layoutInCell="1" allowOverlap="1" wp14:anchorId="3615AF29" wp14:editId="78ED99D3">
                <wp:simplePos x="0" y="0"/>
                <wp:positionH relativeFrom="margin">
                  <wp:posOffset>1739889</wp:posOffset>
                </wp:positionH>
                <wp:positionV relativeFrom="line">
                  <wp:posOffset>357600</wp:posOffset>
                </wp:positionV>
                <wp:extent cx="5150604" cy="1639445"/>
                <wp:effectExtent l="0" t="0" r="0" b="0"/>
                <wp:wrapNone/>
                <wp:docPr id="1073741827" name="officeArt object" descr="Text Box 1"/>
                <wp:cNvGraphicFramePr/>
                <a:graphic xmlns:a="http://schemas.openxmlformats.org/drawingml/2006/main">
                  <a:graphicData uri="http://schemas.microsoft.com/office/word/2010/wordprocessingShape">
                    <wps:wsp>
                      <wps:cNvSpPr/>
                      <wps:spPr>
                        <a:xfrm>
                          <a:off x="0" y="0"/>
                          <a:ext cx="5150604" cy="1639445"/>
                        </a:xfrm>
                        <a:prstGeom prst="rect">
                          <a:avLst/>
                        </a:prstGeom>
                        <a:solidFill>
                          <a:srgbClr val="FFFFFF"/>
                        </a:solidFill>
                        <a:ln w="6350" cap="flat">
                          <a:solidFill>
                            <a:srgbClr val="000000"/>
                          </a:solidFill>
                          <a:prstDash val="solid"/>
                          <a:round/>
                        </a:ln>
                        <a:effectLst/>
                      </wps:spPr>
                      <wps:txbx>
                        <w:txbxContent>
                          <w:p w14:paraId="398B94E2" w14:textId="77777777" w:rsidR="0015062E" w:rsidRDefault="00000000">
                            <w:pPr>
                              <w:pStyle w:val="Body"/>
                              <w:rPr>
                                <w:sz w:val="36"/>
                                <w:szCs w:val="36"/>
                              </w:rPr>
                            </w:pPr>
                            <w:r>
                              <w:rPr>
                                <w:b/>
                                <w:bCs/>
                                <w:sz w:val="36"/>
                                <w:szCs w:val="36"/>
                              </w:rPr>
                              <w:t>New Climate and Carbon Trading</w:t>
                            </w:r>
                            <w:r>
                              <w:rPr>
                                <w:sz w:val="36"/>
                                <w:szCs w:val="36"/>
                              </w:rPr>
                              <w:t xml:space="preserve"> </w:t>
                            </w:r>
                          </w:p>
                          <w:p w14:paraId="3ADB854F" w14:textId="07DC5121" w:rsidR="0015062E" w:rsidRDefault="00000000">
                            <w:pPr>
                              <w:pStyle w:val="Body"/>
                            </w:pPr>
                            <w:r>
                              <w:t>Carbon trading has been around for almost 30 years to supply green alternatives to commercial entities. Companies that are wedded to high carbon use (airlines, steel production, etc</w:t>
                            </w:r>
                            <w:r w:rsidR="00107F1C">
                              <w:t>.</w:t>
                            </w:r>
                            <w:r>
                              <w:t>) can purchase negative carbon generation to pair with their normal operation. Carbon sinks being offered include new forest growth that can be scaled up to large size to benefit a large airline, for instance. Critics say that these carbon-negatives are not permanent and constitute moral hazard on a giant scale.</w:t>
                            </w:r>
                          </w:p>
                          <w:p w14:paraId="1295EE0F" w14:textId="77777777" w:rsidR="0015062E" w:rsidRDefault="00000000">
                            <w:pPr>
                              <w:pStyle w:val="Body"/>
                            </w:pPr>
                            <w:r>
                              <w:tab/>
                            </w:r>
                          </w:p>
                        </w:txbxContent>
                      </wps:txbx>
                      <wps:bodyPr wrap="square" lIns="45719" tIns="45719" rIns="45719" bIns="45719" numCol="1" anchor="t">
                        <a:noAutofit/>
                      </wps:bodyPr>
                    </wps:wsp>
                  </a:graphicData>
                </a:graphic>
              </wp:anchor>
            </w:drawing>
          </mc:Choice>
          <mc:Fallback>
            <w:pict>
              <v:rect w14:anchorId="3615AF29" id="_x0000_s1027" alt="Text Box 1" style="position:absolute;margin-left:137pt;margin-top:28.15pt;width:405.55pt;height:129.1pt;z-index:251659264;visibility:visible;mso-wrap-style:square;mso-wrap-distance-left:0;mso-wrap-distance-top:0;mso-wrap-distance-right:0;mso-wrap-distance-bottom:0;mso-position-horizontal:absolute;mso-position-horizontal-relative:margin;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" strokeweight=".5pt">
                <v:stroke joinstyle="round"/>
                <v:textbox inset="1.27mm,1.27mm,1.27mm,1.27mm">
                  <w:txbxContent>
                    <w:p w14:paraId="398B94E2" w14:textId="77777777" w:rsidR="0015062E" w:rsidRDefault="00000000">
                      <w:pPr>
                        <w:pStyle w:val="Body"/>
                        <w:rPr>
                          <w:sz w:val="36"/>
                          <w:szCs w:val="36"/>
                        </w:rPr>
                      </w:pPr>
                      <w:r>
                        <w:rPr>
                          <w:b/>
                          <w:bCs/>
                          <w:sz w:val="36"/>
                          <w:szCs w:val="36"/>
                        </w:rPr>
                        <w:t>New Climate and Carbon Trading</w:t>
                      </w:r>
                      <w:r>
                        <w:rPr>
                          <w:sz w:val="36"/>
                          <w:szCs w:val="36"/>
                        </w:rPr>
                        <w:t xml:space="preserve"> </w:t>
                      </w:r>
                    </w:p>
                    <w:p w14:paraId="3ADB854F" w14:textId="07DC5121" w:rsidR="0015062E" w:rsidRDefault="00000000">
                      <w:pPr>
                        <w:pStyle w:val="Body"/>
                      </w:pPr>
                      <w:r>
                        <w:t xml:space="preserve">Carbon trading has been around for almost 30 years to supply green alternatives to commercial entities. </w:t>
                      </w:r>
                      <w:r>
                        <w:t>Companies that are wedded to high carbon use (airlines, steel production, etc</w:t>
                      </w:r>
                      <w:r w:rsidR="00107F1C">
                        <w:t>.</w:t>
                      </w:r>
                      <w:r>
                        <w:t>) can purchase negative carbon generation to pair with their normal operation. Carbon sinks being offered include new forest growth that can be scaled up to large size to benefit a large airline, for instance. Critics say that these carbon-negatives are not permanent and constitute moral hazard on a giant scale.</w:t>
                      </w:r>
                    </w:p>
                    <w:p w14:paraId="1295EE0F" w14:textId="77777777" w:rsidR="0015062E" w:rsidRDefault="00000000">
                      <w:pPr>
                        <w:pStyle w:val="Body"/>
                      </w:pPr>
                      <w:r>
                        <w:tab/>
                      </w:r>
                    </w:p>
                  </w:txbxContent>
                </v:textbox>
                <w10:wrap anchorx="margin" anchory="line"/>
              </v:rect>
            </w:pict>
          </mc:Fallback>
        </mc:AlternateContent>
      </w:r>
      <w:r>
        <w:rPr>
          <w:noProof/>
        </w:rPr>
        <mc:AlternateContent>
          <mc:Choice Requires="wps">
            <w:drawing>
              <wp:anchor distT="0" distB="0" distL="0" distR="0" simplePos="0" relativeHeight="251660288" behindDoc="0" locked="0" layoutInCell="1" allowOverlap="1" wp14:anchorId="4E331D00" wp14:editId="19EC71D4">
                <wp:simplePos x="0" y="0"/>
                <wp:positionH relativeFrom="margin">
                  <wp:posOffset>-112143</wp:posOffset>
                </wp:positionH>
                <wp:positionV relativeFrom="line">
                  <wp:posOffset>355599</wp:posOffset>
                </wp:positionV>
                <wp:extent cx="1682152" cy="1643447"/>
                <wp:effectExtent l="0" t="0" r="0" b="0"/>
                <wp:wrapNone/>
                <wp:docPr id="1073741828" name="officeArt object" descr="Text Box 3"/>
                <wp:cNvGraphicFramePr/>
                <a:graphic xmlns:a="http://schemas.openxmlformats.org/drawingml/2006/main">
                  <a:graphicData uri="http://schemas.microsoft.com/office/word/2010/wordprocessingShape">
                    <wps:wsp>
                      <wps:cNvSpPr/>
                      <wps:spPr>
                        <a:xfrm>
                          <a:off x="0" y="0"/>
                          <a:ext cx="1682152" cy="1643447"/>
                        </a:xfrm>
                        <a:prstGeom prst="rect">
                          <a:avLst/>
                        </a:prstGeom>
                        <a:solidFill>
                          <a:srgbClr val="FFFFFF"/>
                        </a:solidFill>
                        <a:ln w="6350" cap="flat">
                          <a:solidFill>
                            <a:srgbClr val="000000"/>
                          </a:solidFill>
                          <a:prstDash val="solid"/>
                          <a:round/>
                        </a:ln>
                        <a:effectLst/>
                      </wps:spPr>
                      <wps:txbx>
                        <w:txbxContent>
                          <w:p w14:paraId="053118A8" w14:textId="77777777" w:rsidR="0015062E" w:rsidRDefault="00000000">
                            <w:pPr>
                              <w:pStyle w:val="Body"/>
                              <w:rPr>
                                <w:b/>
                                <w:bCs/>
                                <w:sz w:val="28"/>
                                <w:szCs w:val="28"/>
                              </w:rPr>
                            </w:pPr>
                            <w:r>
                              <w:rPr>
                                <w:b/>
                                <w:bCs/>
                                <w:sz w:val="28"/>
                                <w:szCs w:val="28"/>
                              </w:rPr>
                              <w:t>Guide to the New Climate-</w:t>
                            </w:r>
                          </w:p>
                          <w:p w14:paraId="478B9E93" w14:textId="77777777" w:rsidR="0015062E" w:rsidRDefault="00000000">
                            <w:pPr>
                              <w:pStyle w:val="Body"/>
                            </w:pPr>
                            <w:r>
                              <w:t>An informational and reflective series available free on Facebook @newclimateguides</w:t>
                            </w:r>
                            <w:r>
                              <w:rPr>
                                <w:rFonts w:ascii="Arial Unicode MS" w:hAnsi="Arial Unicode MS"/>
                              </w:rPr>
                              <w:br/>
                            </w:r>
                          </w:p>
                        </w:txbxContent>
                      </wps:txbx>
                      <wps:bodyPr wrap="square" lIns="45719" tIns="45719" rIns="45719" bIns="45719" numCol="1" anchor="t">
                        <a:noAutofit/>
                      </wps:bodyPr>
                    </wps:wsp>
                  </a:graphicData>
                </a:graphic>
              </wp:anchor>
            </w:drawing>
          </mc:Choice>
          <mc:Fallback>
            <w:pict>
              <v:rect id="_x0000_s1028" style="visibility:visible;position:absolute;margin-left:-8.8pt;margin-top:28.0pt;width:132.5pt;height:129.4pt;z-index:251660288;mso-position-horizontal:absolute;mso-position-horizontal-relative:margin;mso-position-vertical:absolute;mso-position-vertical-relative:line;mso-wrap-distance-left:0.0pt;mso-wrap-distance-top:0.0pt;mso-wrap-distance-right:0.0pt;mso-wrap-distance-bottom:0.0pt;">
                <v:fill color="#FFFFFF" opacity="100.0%" type="solid"/>
                <v:stroke filltype="solid" color="#000000" opacity="100.0%" weight="0.5pt" dashstyle="solid" endcap="flat" joinstyle="round" linestyle="single" startarrow="none" startarrowwidth="medium" startarrowlength="medium" endarrow="none" endarrowwidth="medium" endarrowlength="medium"/>
                <v:textbox>
                  <w:txbxContent>
                    <w:p>
                      <w:pPr>
                        <w:pStyle w:val="Body"/>
                        <w:rPr>
                          <w:b w:val="1"/>
                          <w:bCs w:val="1"/>
                          <w:sz w:val="28"/>
                          <w:szCs w:val="28"/>
                        </w:rPr>
                      </w:pPr>
                      <w:r>
                        <w:rPr>
                          <w:b w:val="1"/>
                          <w:bCs w:val="1"/>
                          <w:sz w:val="28"/>
                          <w:szCs w:val="28"/>
                          <w:rtl w:val="0"/>
                          <w:lang w:val="en-US"/>
                        </w:rPr>
                        <w:t>Guide to the New Climate-</w:t>
                      </w:r>
                    </w:p>
                    <w:p>
                      <w:pPr>
                        <w:pStyle w:val="Body"/>
                      </w:pPr>
                      <w:r>
                        <w:rPr>
                          <w:rtl w:val="0"/>
                          <w:lang w:val="en-US"/>
                        </w:rPr>
                        <w:t>An informational and reflective series available free on Facebook @newclimateguides</w:t>
                      </w:r>
                      <w:r>
                        <w:rPr>
                          <w:rFonts w:ascii="Arial Unicode MS" w:cs="Arial Unicode MS" w:hAnsi="Arial Unicode MS" w:eastAsia="Arial Unicode MS"/>
                          <w:b w:val="0"/>
                          <w:bCs w:val="0"/>
                          <w:i w:val="0"/>
                          <w:iCs w:val="0"/>
                        </w:rPr>
                        <w:br w:type="textWrapping"/>
                      </w:r>
                      <w:r/>
                    </w:p>
                  </w:txbxContent>
                </v:textbox>
                <w10:wrap type="none" side="bothSides" anchorx="margin"/>
              </v:rect>
            </w:pict>
          </mc:Fallback>
        </mc:AlternateContent>
      </w:r>
    </w:p>
    <w:p w14:paraId="2BF65A7B" w14:textId="77777777" w:rsidR="0015062E" w:rsidRDefault="0015062E">
      <w:pPr>
        <w:pStyle w:val="Body"/>
      </w:pPr>
    </w:p>
    <w:p w14:paraId="24F9D8CF" w14:textId="77777777" w:rsidR="0015062E" w:rsidRDefault="00000000">
      <w:pPr>
        <w:pStyle w:val="Body"/>
      </w:pPr>
      <w:r>
        <w:rPr>
          <w:noProof/>
        </w:rPr>
        <mc:AlternateContent>
          <mc:Choice Requires="wps">
            <w:drawing>
              <wp:anchor distT="0" distB="0" distL="0" distR="0" simplePos="0" relativeHeight="251663360" behindDoc="0" locked="0" layoutInCell="1" allowOverlap="1" wp14:anchorId="1ED789EA" wp14:editId="4DD29CD1">
                <wp:simplePos x="0" y="0"/>
                <wp:positionH relativeFrom="column">
                  <wp:posOffset>-94890</wp:posOffset>
                </wp:positionH>
                <wp:positionV relativeFrom="line">
                  <wp:posOffset>6882704</wp:posOffset>
                </wp:positionV>
                <wp:extent cx="2208363" cy="1948814"/>
                <wp:effectExtent l="0" t="0" r="0" b="0"/>
                <wp:wrapNone/>
                <wp:docPr id="1073741829" name="officeArt object" descr="Text Box 2"/>
                <wp:cNvGraphicFramePr/>
                <a:graphic xmlns:a="http://schemas.openxmlformats.org/drawingml/2006/main">
                  <a:graphicData uri="http://schemas.microsoft.com/office/word/2010/wordprocessingShape">
                    <wps:wsp>
                      <wps:cNvSpPr/>
                      <wps:spPr>
                        <a:xfrm>
                          <a:off x="0" y="0"/>
                          <a:ext cx="2208363" cy="1948814"/>
                        </a:xfrm>
                        <a:prstGeom prst="rect">
                          <a:avLst/>
                        </a:prstGeom>
                        <a:solidFill>
                          <a:srgbClr val="FFFFFF"/>
                        </a:solidFill>
                        <a:ln w="6350" cap="flat">
                          <a:solidFill>
                            <a:srgbClr val="000000"/>
                          </a:solidFill>
                          <a:prstDash val="solid"/>
                          <a:round/>
                        </a:ln>
                        <a:effectLst/>
                      </wps:spPr>
                      <wps:txbx>
                        <w:txbxContent>
                          <w:p w14:paraId="494CC616" w14:textId="77777777" w:rsidR="0015062E" w:rsidRDefault="00000000">
                            <w:pPr>
                              <w:pStyle w:val="Body"/>
                            </w:pPr>
                            <w:r>
                              <w:rPr>
                                <w:b/>
                                <w:bCs/>
                                <w:sz w:val="28"/>
                                <w:szCs w:val="28"/>
                              </w:rPr>
                              <w:t>Mitigation</w:t>
                            </w:r>
                          </w:p>
                          <w:p w14:paraId="21582691" w14:textId="77777777" w:rsidR="0015062E" w:rsidRDefault="00000000">
                            <w:pPr>
                              <w:pStyle w:val="ListParagraph"/>
                              <w:numPr>
                                <w:ilvl w:val="0"/>
                                <w:numId w:val="1"/>
                              </w:numPr>
                              <w:rPr>
                                <w:b/>
                                <w:bCs/>
                              </w:rPr>
                            </w:pPr>
                            <w:r>
                              <w:t>Electrification to replace carbon fuel use.</w:t>
                            </w:r>
                          </w:p>
                          <w:p w14:paraId="4DCC43B8" w14:textId="77777777" w:rsidR="0015062E" w:rsidRDefault="00000000">
                            <w:pPr>
                              <w:pStyle w:val="ListParagraph"/>
                              <w:numPr>
                                <w:ilvl w:val="0"/>
                                <w:numId w:val="1"/>
                              </w:numPr>
                              <w:rPr>
                                <w:b/>
                                <w:bCs/>
                              </w:rPr>
                            </w:pPr>
                            <w:r>
                              <w:t>Zero-carbon power.</w:t>
                            </w:r>
                          </w:p>
                          <w:p w14:paraId="304EC8C7" w14:textId="617688EF" w:rsidR="0015062E" w:rsidRDefault="00000000">
                            <w:pPr>
                              <w:pStyle w:val="ListParagraph"/>
                              <w:numPr>
                                <w:ilvl w:val="0"/>
                                <w:numId w:val="1"/>
                              </w:numPr>
                              <w:rPr>
                                <w:b/>
                                <w:bCs/>
                              </w:rPr>
                            </w:pPr>
                            <w:r>
                              <w:t>Promote zero-carbon transportation by using e-buses and</w:t>
                            </w:r>
                            <w:r w:rsidR="00107F1C">
                              <w:t xml:space="preserve"> </w:t>
                            </w:r>
                            <w:r>
                              <w:t>dedicated bike/walking paths.</w:t>
                            </w:r>
                          </w:p>
                          <w:p w14:paraId="59795973" w14:textId="77777777" w:rsidR="0015062E" w:rsidRDefault="00000000">
                            <w:pPr>
                              <w:pStyle w:val="ListParagraph"/>
                              <w:numPr>
                                <w:ilvl w:val="0"/>
                                <w:numId w:val="2"/>
                              </w:numPr>
                            </w:pPr>
                            <w:r>
                              <w:t>Zero-carbon education.</w:t>
                            </w:r>
                            <w:r>
                              <w:rPr>
                                <w:rFonts w:ascii="Arial Unicode MS" w:hAnsi="Arial Unicode MS"/>
                              </w:rPr>
                              <w:br/>
                            </w:r>
                          </w:p>
                        </w:txbxContent>
                      </wps:txbx>
                      <wps:bodyPr wrap="square" lIns="45719" tIns="45719" rIns="45719" bIns="45719" numCol="1" anchor="t">
                        <a:noAutofit/>
                      </wps:bodyPr>
                    </wps:wsp>
                  </a:graphicData>
                </a:graphic>
              </wp:anchor>
            </w:drawing>
          </mc:Choice>
          <mc:Fallback>
            <w:pict>
              <v:rect w14:anchorId="1ED789EA" id="_x0000_s1029" alt="Text Box 2" style="position:absolute;margin-left:-7.45pt;margin-top:541.95pt;width:173.9pt;height:153.45pt;z-index:251663360;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" strokeweight=".5pt">
                <v:stroke joinstyle="round"/>
                <v:textbox inset="1.27mm,1.27mm,1.27mm,1.27mm">
                  <w:txbxContent>
                    <w:p w14:paraId="494CC616" w14:textId="77777777" w:rsidR="0015062E" w:rsidRDefault="00000000">
                      <w:pPr>
                        <w:pStyle w:val="Body"/>
                      </w:pPr>
                      <w:r>
                        <w:rPr>
                          <w:b/>
                          <w:bCs/>
                          <w:sz w:val="28"/>
                          <w:szCs w:val="28"/>
                        </w:rPr>
                        <w:t>Mitigation</w:t>
                      </w:r>
                    </w:p>
                    <w:p w14:paraId="21582691" w14:textId="77777777" w:rsidR="0015062E" w:rsidRDefault="00000000">
                      <w:pPr>
                        <w:pStyle w:val="ListParagraph"/>
                        <w:numPr>
                          <w:ilvl w:val="0"/>
                          <w:numId w:val="1"/>
                        </w:numPr>
                        <w:rPr>
                          <w:b/>
                          <w:bCs/>
                        </w:rPr>
                      </w:pPr>
                      <w:r>
                        <w:t>Electrification to replace carbon fuel use.</w:t>
                      </w:r>
                    </w:p>
                    <w:p w14:paraId="4DCC43B8" w14:textId="77777777" w:rsidR="0015062E" w:rsidRDefault="00000000">
                      <w:pPr>
                        <w:pStyle w:val="ListParagraph"/>
                        <w:numPr>
                          <w:ilvl w:val="0"/>
                          <w:numId w:val="1"/>
                        </w:numPr>
                        <w:rPr>
                          <w:b/>
                          <w:bCs/>
                        </w:rPr>
                      </w:pPr>
                      <w:r>
                        <w:t>Zero-carbon power.</w:t>
                      </w:r>
                    </w:p>
                    <w:p w14:paraId="304EC8C7" w14:textId="617688EF" w:rsidR="0015062E" w:rsidRDefault="00000000">
                      <w:pPr>
                        <w:pStyle w:val="ListParagraph"/>
                        <w:numPr>
                          <w:ilvl w:val="0"/>
                          <w:numId w:val="1"/>
                        </w:numPr>
                        <w:rPr>
                          <w:b/>
                          <w:bCs/>
                        </w:rPr>
                      </w:pPr>
                      <w:r>
                        <w:t>Promote zero-carbon transportation by using e-buses and</w:t>
                      </w:r>
                      <w:r w:rsidR="00107F1C">
                        <w:t xml:space="preserve"> </w:t>
                      </w:r>
                      <w:r>
                        <w:t>dedicated bike/walking paths.</w:t>
                      </w:r>
                    </w:p>
                    <w:p w14:paraId="59795973" w14:textId="77777777" w:rsidR="0015062E" w:rsidRDefault="00000000">
                      <w:pPr>
                        <w:pStyle w:val="ListParagraph"/>
                        <w:numPr>
                          <w:ilvl w:val="0"/>
                          <w:numId w:val="2"/>
                        </w:numPr>
                      </w:pPr>
                      <w:r>
                        <w:t>Zero-carbon education.</w:t>
                      </w:r>
                      <w:r>
                        <w:rPr>
                          <w:rFonts w:ascii="Arial Unicode MS" w:hAnsi="Arial Unicode MS"/>
                        </w:rPr>
                        <w:br/>
                      </w:r>
                    </w:p>
                  </w:txbxContent>
                </v:textbox>
                <w10:wrap anchory="line"/>
              </v:rect>
            </w:pict>
          </mc:Fallback>
        </mc:AlternateContent>
      </w:r>
      <w:r>
        <w:rPr>
          <w:noProof/>
        </w:rPr>
        <mc:AlternateContent>
          <mc:Choice Requires="wps">
            <w:drawing>
              <wp:anchor distT="0" distB="0" distL="0" distR="0" simplePos="0" relativeHeight="251662336" behindDoc="0" locked="0" layoutInCell="1" allowOverlap="1" wp14:anchorId="23D6CA5B" wp14:editId="021DC307">
                <wp:simplePos x="0" y="0"/>
                <wp:positionH relativeFrom="column">
                  <wp:posOffset>2303253</wp:posOffset>
                </wp:positionH>
                <wp:positionV relativeFrom="line">
                  <wp:posOffset>6882704</wp:posOffset>
                </wp:positionV>
                <wp:extent cx="4587779" cy="1948815"/>
                <wp:effectExtent l="0" t="0" r="0" b="0"/>
                <wp:wrapNone/>
                <wp:docPr id="1073741830" name="officeArt object" descr="Text Box 5"/>
                <wp:cNvGraphicFramePr/>
                <a:graphic xmlns:a="http://schemas.openxmlformats.org/drawingml/2006/main">
                  <a:graphicData uri="http://schemas.microsoft.com/office/word/2010/wordprocessingShape">
                    <wps:wsp>
                      <wps:cNvSpPr/>
                      <wps:spPr>
                        <a:xfrm>
                          <a:off x="0" y="0"/>
                          <a:ext cx="4587779" cy="1948815"/>
                        </a:xfrm>
                        <a:prstGeom prst="rect">
                          <a:avLst/>
                        </a:prstGeom>
                        <a:solidFill>
                          <a:srgbClr val="FFFFFF"/>
                        </a:solidFill>
                        <a:ln w="6350" cap="flat">
                          <a:solidFill>
                            <a:srgbClr val="000000"/>
                          </a:solidFill>
                          <a:prstDash val="solid"/>
                          <a:round/>
                        </a:ln>
                        <a:effectLst/>
                      </wps:spPr>
                      <wps:txbx>
                        <w:txbxContent>
                          <w:p w14:paraId="2E1A13CF" w14:textId="77777777" w:rsidR="0015062E" w:rsidRDefault="00000000">
                            <w:pPr>
                              <w:pStyle w:val="Body"/>
                            </w:pPr>
                            <w:r>
                              <w:rPr>
                                <w:b/>
                                <w:bCs/>
                                <w:sz w:val="28"/>
                                <w:szCs w:val="28"/>
                                <w:lang w:val="fr-FR"/>
                              </w:rPr>
                              <w:t>Action Points</w:t>
                            </w:r>
                          </w:p>
                          <w:p w14:paraId="3976AEA9" w14:textId="77777777" w:rsidR="0015062E" w:rsidRDefault="00000000">
                            <w:pPr>
                              <w:pStyle w:val="Body"/>
                            </w:pPr>
                            <w:r>
                              <w:rPr>
                                <w:b/>
                                <w:bCs/>
                              </w:rPr>
                              <w:t>Federal role</w:t>
                            </w:r>
                          </w:p>
                          <w:p w14:paraId="191767A8" w14:textId="77777777" w:rsidR="0015062E" w:rsidRDefault="00000000">
                            <w:pPr>
                              <w:pStyle w:val="ListParagraph"/>
                              <w:numPr>
                                <w:ilvl w:val="0"/>
                                <w:numId w:val="3"/>
                              </w:numPr>
                              <w:rPr>
                                <w:b/>
                                <w:bCs/>
                              </w:rPr>
                            </w:pPr>
                            <w:r>
                              <w:t>National carbon penalties.</w:t>
                            </w:r>
                          </w:p>
                          <w:p w14:paraId="31F05ED7" w14:textId="77777777" w:rsidR="0015062E" w:rsidRDefault="00000000">
                            <w:pPr>
                              <w:pStyle w:val="Body"/>
                            </w:pPr>
                            <w:r>
                              <w:rPr>
                                <w:b/>
                                <w:bCs/>
                                <w:lang w:val="pt-PT"/>
                              </w:rPr>
                              <w:t>Municipal role</w:t>
                            </w:r>
                          </w:p>
                          <w:p w14:paraId="6D732A88" w14:textId="77777777" w:rsidR="0015062E" w:rsidRDefault="00000000">
                            <w:pPr>
                              <w:pStyle w:val="ListParagraph"/>
                              <w:numPr>
                                <w:ilvl w:val="0"/>
                                <w:numId w:val="4"/>
                              </w:numPr>
                            </w:pPr>
                            <w:r>
                              <w:t xml:space="preserve">Zero-Carbon campaign for municipalities and cities; this is easier than national programs. </w:t>
                            </w:r>
                          </w:p>
                          <w:p w14:paraId="763387BB" w14:textId="77777777" w:rsidR="0015062E" w:rsidRDefault="00000000">
                            <w:pPr>
                              <w:pStyle w:val="ListParagraph"/>
                              <w:numPr>
                                <w:ilvl w:val="0"/>
                                <w:numId w:val="4"/>
                              </w:numPr>
                            </w:pPr>
                            <w:r>
                              <w:t>Clubs and church groups can work with town governments to adopt zero-carbon efforts - your church can replace a polluting lawn tractor.</w:t>
                            </w:r>
                          </w:p>
                        </w:txbxContent>
                      </wps:txbx>
                      <wps:bodyPr wrap="square" lIns="45719" tIns="45719" rIns="45719" bIns="45719" numCol="1" anchor="t">
                        <a:noAutofit/>
                      </wps:bodyPr>
                    </wps:wsp>
                  </a:graphicData>
                </a:graphic>
              </wp:anchor>
            </w:drawing>
          </mc:Choice>
          <mc:Fallback>
            <w:pict>
              <v:rect id="_x0000_s1030" style="visibility:visible;position:absolute;margin-left:181.4pt;margin-top:541.9pt;width:361.2pt;height:153.4pt;z-index:251662336;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5pt" dashstyle="solid" endcap="flat" joinstyle="round" linestyle="single" startarrow="none" startarrowwidth="medium" startarrowlength="medium" endarrow="none" endarrowwidth="medium" endarrowlength="medium"/>
                <v:textbox>
                  <w:txbxContent>
                    <w:p>
                      <w:pPr>
                        <w:pStyle w:val="Body"/>
                      </w:pPr>
                      <w:r>
                        <w:rPr>
                          <w:b w:val="1"/>
                          <w:bCs w:val="1"/>
                          <w:sz w:val="28"/>
                          <w:szCs w:val="28"/>
                          <w:rtl w:val="0"/>
                          <w:lang w:val="fr-FR"/>
                        </w:rPr>
                        <w:t>Action Points</w:t>
                      </w:r>
                    </w:p>
                    <w:p>
                      <w:pPr>
                        <w:pStyle w:val="Body"/>
                      </w:pPr>
                      <w:r>
                        <w:rPr>
                          <w:b w:val="1"/>
                          <w:bCs w:val="1"/>
                          <w:rtl w:val="0"/>
                          <w:lang w:val="en-US"/>
                        </w:rPr>
                        <w:t>Federal role</w:t>
                      </w:r>
                    </w:p>
                    <w:p>
                      <w:pPr>
                        <w:pStyle w:val="List Paragraph"/>
                        <w:numPr>
                          <w:ilvl w:val="0"/>
                          <w:numId w:val="3"/>
                        </w:numPr>
                        <w:bidi w:val="0"/>
                        <w:ind w:right="0"/>
                        <w:jc w:val="left"/>
                        <w:rPr>
                          <w:b w:val="1"/>
                          <w:bCs w:val="1"/>
                          <w:rtl w:val="0"/>
                          <w:lang w:val="en-US"/>
                        </w:rPr>
                      </w:pPr>
                      <w:r>
                        <w:rPr>
                          <w:b w:val="0"/>
                          <w:bCs w:val="0"/>
                          <w:rtl w:val="0"/>
                          <w:lang w:val="en-US"/>
                        </w:rPr>
                        <w:t xml:space="preserve">National carbon </w:t>
                      </w:r>
                      <w:r>
                        <w:rPr>
                          <w:b w:val="0"/>
                          <w:bCs w:val="0"/>
                          <w:rtl w:val="0"/>
                          <w:lang w:val="en-US"/>
                        </w:rPr>
                        <w:t>penalties.</w:t>
                      </w:r>
                      <w:r>
                        <w:rPr>
                          <w:b w:val="1"/>
                          <w:bCs w:val="1"/>
                        </w:rPr>
                      </w:r>
                    </w:p>
                    <w:p>
                      <w:pPr>
                        <w:pStyle w:val="Body"/>
                      </w:pPr>
                      <w:r>
                        <w:rPr>
                          <w:b w:val="1"/>
                          <w:bCs w:val="1"/>
                          <w:rtl w:val="0"/>
                          <w:lang w:val="pt-PT"/>
                        </w:rPr>
                        <w:t>Municipal role</w:t>
                      </w:r>
                    </w:p>
                    <w:p>
                      <w:pPr>
                        <w:pStyle w:val="List Paragraph"/>
                        <w:numPr>
                          <w:ilvl w:val="0"/>
                          <w:numId w:val="4"/>
                        </w:numPr>
                        <w:rPr>
                          <w:lang w:val="en-US"/>
                        </w:rPr>
                      </w:pPr>
                      <w:r>
                        <w:rPr>
                          <w:rtl w:val="0"/>
                          <w:lang w:val="en-US"/>
                        </w:rPr>
                        <w:t xml:space="preserve">Zero-Carbon campaign for municipalities and cities; this is easier than national programs. </w:t>
                      </w:r>
                    </w:p>
                    <w:p>
                      <w:pPr>
                        <w:pStyle w:val="List Paragraph"/>
                        <w:numPr>
                          <w:ilvl w:val="0"/>
                          <w:numId w:val="4"/>
                        </w:numPr>
                        <w:rPr>
                          <w:lang w:val="en-US"/>
                        </w:rPr>
                      </w:pPr>
                      <w:r>
                        <w:rPr>
                          <w:rtl w:val="0"/>
                          <w:lang w:val="en-US"/>
                        </w:rPr>
                        <w:t>Clubs and church groups can work with town governments to adopt zero-carbon efforts - your church can replace a polluting lawn tractor.</w:t>
                      </w:r>
                      <w:r/>
                    </w:p>
                  </w:txbxContent>
                </v:textbox>
                <w10:wrap type="none" side="bothSides" anchorx="text"/>
              </v:rect>
            </w:pict>
          </mc:Fallback>
        </mc:AlternateContent>
      </w:r>
      <w:r>
        <w:rPr>
          <w:noProof/>
        </w:rPr>
        <mc:AlternateContent>
          <mc:Choice Requires="wps">
            <w:drawing>
              <wp:anchor distT="0" distB="0" distL="0" distR="0" simplePos="0" relativeHeight="251661312" behindDoc="0" locked="0" layoutInCell="1" allowOverlap="1" wp14:anchorId="4ACF9F56" wp14:editId="1A207E23">
                <wp:simplePos x="0" y="0"/>
                <wp:positionH relativeFrom="margin">
                  <wp:posOffset>-112143</wp:posOffset>
                </wp:positionH>
                <wp:positionV relativeFrom="line">
                  <wp:posOffset>1791221</wp:posOffset>
                </wp:positionV>
                <wp:extent cx="7002637" cy="5002758"/>
                <wp:effectExtent l="0" t="0" r="0" b="0"/>
                <wp:wrapNone/>
                <wp:docPr id="1073741831" name="officeArt object" descr="Text Box 4"/>
                <wp:cNvGraphicFramePr/>
                <a:graphic xmlns:a="http://schemas.openxmlformats.org/drawingml/2006/main">
                  <a:graphicData uri="http://schemas.microsoft.com/office/word/2010/wordprocessingShape">
                    <wps:wsp>
                      <wps:cNvSpPr/>
                      <wps:spPr>
                        <a:xfrm>
                          <a:off x="0" y="0"/>
                          <a:ext cx="7002637" cy="5002758"/>
                        </a:xfrm>
                        <a:prstGeom prst="rect">
                          <a:avLst/>
                        </a:prstGeom>
                        <a:solidFill>
                          <a:srgbClr val="FFFFFF"/>
                        </a:solidFill>
                        <a:ln w="6350" cap="flat">
                          <a:solidFill>
                            <a:srgbClr val="000000"/>
                          </a:solidFill>
                          <a:prstDash val="solid"/>
                          <a:round/>
                        </a:ln>
                        <a:effectLst/>
                      </wps:spPr>
                      <wps:txbx>
                        <w:txbxContent>
                          <w:p w14:paraId="233F2EFB" w14:textId="77777777" w:rsidR="0015062E" w:rsidRDefault="00000000">
                            <w:pPr>
                              <w:pStyle w:val="Body"/>
                              <w:rPr>
                                <w:b/>
                                <w:bCs/>
                                <w:sz w:val="28"/>
                                <w:szCs w:val="28"/>
                              </w:rPr>
                            </w:pPr>
                            <w:r>
                              <w:rPr>
                                <w:b/>
                                <w:bCs/>
                                <w:sz w:val="28"/>
                                <w:szCs w:val="28"/>
                              </w:rPr>
                              <w:t>Science of The New Climate and Carbon Trading to remove GHGs.</w:t>
                            </w:r>
                          </w:p>
                          <w:p w14:paraId="49FA0BFB" w14:textId="3A9C758D" w:rsidR="0015062E" w:rsidRDefault="00000000">
                            <w:pPr>
                              <w:pStyle w:val="Body"/>
                            </w:pPr>
                            <w:r>
                              <w:t xml:space="preserve">CO2 and other GHGs are long-lived and potent agents for changing the heating effects of the earth’s atmosphere. In order to eliminate the worst aspects of global heating, GHGs must be reduced in the atmosphere. One way to </w:t>
                            </w:r>
                            <w:r w:rsidR="008A678E">
                              <w:t>affect</w:t>
                            </w:r>
                            <w:r>
                              <w:t xml:space="preserve"> this is to charge companies for their emissions through carbon taxes or similar devises. The emissions being taxed can be termed “net emissions” defined as actual missions minus “carbon offsets” that are actions taken to absorb or avoid the generation of GHGs. Such offsets have a real value only if they are permanent and measurable. </w:t>
                            </w:r>
                          </w:p>
                          <w:p w14:paraId="18AA69E3" w14:textId="77777777" w:rsidR="0015062E" w:rsidRDefault="0015062E">
                            <w:pPr>
                              <w:pStyle w:val="Body"/>
                            </w:pPr>
                          </w:p>
                          <w:p w14:paraId="5CACEACD" w14:textId="77777777" w:rsidR="0015062E" w:rsidRDefault="00000000">
                            <w:pPr>
                              <w:pStyle w:val="Body"/>
                            </w:pPr>
                            <w:r>
                              <w:t xml:space="preserve">An example of an offset is the planting and nurturing of a 1,000-acre forest that would be protected by a legal devise written into the land title that prevented cutting of the trees. The forest would then sequester tons of carbon as standing timber until it reached a mature, old-growth stage when sequestered carbon would equal carbon released by dead trees. Another popular carbon offset is CO2 captured at a boiler stack that is then pumped deep underground as part of an enhanced oil-recovery operation. These operations have been used in the oil industry for at least 50 years to cause more oil to be recovered at the surface. Infrastructure costs are quite low since the operation utilizes oil wells and equipment used during oil production. </w:t>
                            </w:r>
                          </w:p>
                          <w:p w14:paraId="70B8A34B" w14:textId="77777777" w:rsidR="0015062E" w:rsidRDefault="0015062E">
                            <w:pPr>
                              <w:pStyle w:val="Body"/>
                            </w:pPr>
                          </w:p>
                          <w:p w14:paraId="765D78DE" w14:textId="5386479F" w:rsidR="0015062E" w:rsidRDefault="00000000">
                            <w:pPr>
                              <w:pStyle w:val="Body"/>
                            </w:pPr>
                            <w:r>
                              <w:t xml:space="preserve">Traditional carbon offsets present problems with stability because forests can and do burn down, wetlands are subject to changing climate conditions, and deep burial is subject to even small earthquakes and subsurface mechanical breakdowns and leakage. The only way to provide a fool-proof solution is direct-air capture paired with surface inerting and storage. Only in this way can the stability of the carbon be verified over the long term. Inertification may involve low-oxygen heating to produce </w:t>
                            </w:r>
                            <w:r w:rsidR="008A678E">
                              <w:t>biochar</w:t>
                            </w:r>
                            <w:r>
                              <w:t xml:space="preserve"> or similar processes.</w:t>
                            </w:r>
                          </w:p>
                          <w:p w14:paraId="7AF2C9F7" w14:textId="77777777" w:rsidR="0015062E" w:rsidRDefault="00000000">
                            <w:pPr>
                              <w:pStyle w:val="Body"/>
                            </w:pPr>
                            <w:r>
                              <w:t xml:space="preserve"> </w:t>
                            </w:r>
                          </w:p>
                          <w:p w14:paraId="4F3B0988" w14:textId="77777777" w:rsidR="0015062E" w:rsidRDefault="00000000">
                            <w:pPr>
                              <w:pStyle w:val="Body"/>
                            </w:pPr>
                            <w:r>
                              <w:t xml:space="preserve">Effective carbon trading will depend on adoption of global carbon penalties proportional to their environmental/health costs need to be in place as soon as possible. Latest cost determinations by the UN put the cost at $150/tonne of CO2, this is five times as high as current Canadian carbon penalties. All onset mechanisms must be certified as to quantity and permanence. Certification needs to be done by licensed third parties and renewed on a statutory schedule. </w:t>
                            </w:r>
                          </w:p>
                        </w:txbxContent>
                      </wps:txbx>
                      <wps:bodyPr wrap="square" lIns="45719" tIns="45719" rIns="45719" bIns="45719" numCol="1" anchor="t">
                        <a:noAutofit/>
                      </wps:bodyPr>
                    </wps:wsp>
                  </a:graphicData>
                </a:graphic>
              </wp:anchor>
            </w:drawing>
          </mc:Choice>
          <mc:Fallback>
            <w:pict>
              <v:rect w14:anchorId="4ACF9F56" id="_x0000_s1031" alt="Text Box 4" style="position:absolute;margin-left:-8.85pt;margin-top:141.05pt;width:551.4pt;height:393.9pt;z-index:251661312;visibility:visible;mso-wrap-style:square;mso-wrap-distance-left:0;mso-wrap-distance-top:0;mso-wrap-distance-right:0;mso-wrap-distance-bottom:0;mso-position-horizontal:absolute;mso-position-horizontal-relative:margin;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" strokeweight=".5pt">
                <v:stroke joinstyle="round"/>
                <v:textbox inset="1.27mm,1.27mm,1.27mm,1.27mm">
                  <w:txbxContent>
                    <w:p w14:paraId="233F2EFB" w14:textId="77777777" w:rsidR="0015062E" w:rsidRDefault="00000000">
                      <w:pPr>
                        <w:pStyle w:val="Body"/>
                        <w:rPr>
                          <w:b/>
                          <w:bCs/>
                          <w:sz w:val="28"/>
                          <w:szCs w:val="28"/>
                        </w:rPr>
                      </w:pPr>
                      <w:r>
                        <w:rPr>
                          <w:b/>
                          <w:bCs/>
                          <w:sz w:val="28"/>
                          <w:szCs w:val="28"/>
                        </w:rPr>
                        <w:t>Science of The New Climate and Carbon Trading to remove GHGs.</w:t>
                      </w:r>
                    </w:p>
                    <w:p w14:paraId="49FA0BFB" w14:textId="3A9C758D" w:rsidR="0015062E" w:rsidRDefault="00000000">
                      <w:pPr>
                        <w:pStyle w:val="Body"/>
                      </w:pPr>
                      <w:r>
                        <w:t xml:space="preserve">CO2 and other GHGs are long-lived and potent agents for changing the heating effects of the earth’s atmosphere. In order to eliminate the worst aspects of global heating, GHGs must be reduced in the atmosphere. One way to </w:t>
                      </w:r>
                      <w:r w:rsidR="008A678E">
                        <w:t>affect</w:t>
                      </w:r>
                      <w:r>
                        <w:t xml:space="preserve"> this is to charge companies for their emissions through carbon taxes or similar devises. The emissions being taxed can be termed “net emissions” defined as actual missions minus “carbon offsets” that are actions taken to absorb or avoid the generation of GHGs. Such offsets have a real value only if they are permanent and measurable. </w:t>
                      </w:r>
                    </w:p>
                    <w:p w14:paraId="18AA69E3" w14:textId="77777777" w:rsidR="0015062E" w:rsidRDefault="0015062E">
                      <w:pPr>
                        <w:pStyle w:val="Body"/>
                      </w:pPr>
                    </w:p>
                    <w:p w14:paraId="5CACEACD" w14:textId="77777777" w:rsidR="0015062E" w:rsidRDefault="00000000">
                      <w:pPr>
                        <w:pStyle w:val="Body"/>
                      </w:pPr>
                      <w:r>
                        <w:t xml:space="preserve">An example of an offset is the planting and nurturing of a 1,000-acre forest that would be protected by a legal devise written into the land title that prevented cutting of the trees. The forest would then sequester tons of carbon as standing timber until it reached a mature, old-growth stage when sequestered carbon would equal carbon released by dead trees. Another popular carbon offset is CO2 captured at a boiler stack that is then pumped deep underground as part of an enhanced oil-recovery operation. These operations have been used in the oil industry for at least 50 years to cause more oil to be recovered at the surface. Infrastructure costs are quite low since the operation utilizes oil wells and equipment used during oil production. </w:t>
                      </w:r>
                    </w:p>
                    <w:p w14:paraId="70B8A34B" w14:textId="77777777" w:rsidR="0015062E" w:rsidRDefault="0015062E">
                      <w:pPr>
                        <w:pStyle w:val="Body"/>
                      </w:pPr>
                    </w:p>
                    <w:p w14:paraId="765D78DE" w14:textId="5386479F" w:rsidR="0015062E" w:rsidRDefault="00000000">
                      <w:pPr>
                        <w:pStyle w:val="Body"/>
                      </w:pPr>
                      <w:r>
                        <w:t xml:space="preserve">Traditional carbon offsets present problems with stability because forests can and do burn down, wetlands are subject to changing climate conditions, and deep burial is subject to even small earthquakes and subsurface mechanical breakdowns and leakage. The only way to provide a fool-proof solution is direct-air capture paired with surface inerting and storage. Only in this way can the stability of the carbon be verified over the long term. Inertification may involve low-oxygen heating to produce </w:t>
                      </w:r>
                      <w:r w:rsidR="008A678E">
                        <w:t>biochar</w:t>
                      </w:r>
                      <w:r>
                        <w:t xml:space="preserve"> or similar processes.</w:t>
                      </w:r>
                    </w:p>
                    <w:p w14:paraId="7AF2C9F7" w14:textId="77777777" w:rsidR="0015062E" w:rsidRDefault="00000000">
                      <w:pPr>
                        <w:pStyle w:val="Body"/>
                      </w:pPr>
                      <w:r>
                        <w:t xml:space="preserve"> </w:t>
                      </w:r>
                    </w:p>
                    <w:p w14:paraId="4F3B0988" w14:textId="77777777" w:rsidR="0015062E" w:rsidRDefault="00000000">
                      <w:pPr>
                        <w:pStyle w:val="Body"/>
                      </w:pPr>
                      <w:r>
                        <w:t xml:space="preserve">Effective carbon trading will depend on adoption of global carbon penalties proportional to their environmental/health costs need to be in place as soon as possible. Latest cost determinations by the UN put the cost at $150/tonne of CO2, this is five times as high as current Canadian carbon penalties. All onset mechanisms must be certified as to quantity and permanence. Certification needs to be done by licensed third parties and renewed on a statutory schedule. </w:t>
                      </w:r>
                    </w:p>
                  </w:txbxContent>
                </v:textbox>
                <w10:wrap anchorx="margin" anchory="line"/>
              </v:rect>
            </w:pict>
          </mc:Fallback>
        </mc:AlternateContent>
      </w:r>
    </w:p>
    <w:sectPr w:rsidR="0015062E">
      <w:headerReference w:type="default"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47F8F" w14:textId="77777777" w:rsidR="002E0AAA" w:rsidRDefault="002E0AAA">
      <w:r>
        <w:separator/>
      </w:r>
    </w:p>
  </w:endnote>
  <w:endnote w:type="continuationSeparator" w:id="0">
    <w:p w14:paraId="7E67315D" w14:textId="77777777" w:rsidR="002E0AAA" w:rsidRDefault="002E0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40F46" w14:textId="77777777" w:rsidR="0015062E" w:rsidRDefault="0015062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7F6E5" w14:textId="77777777" w:rsidR="002E0AAA" w:rsidRDefault="002E0AAA">
      <w:r>
        <w:separator/>
      </w:r>
    </w:p>
  </w:footnote>
  <w:footnote w:type="continuationSeparator" w:id="0">
    <w:p w14:paraId="142880FD" w14:textId="77777777" w:rsidR="002E0AAA" w:rsidRDefault="002E0A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EA6F7" w14:textId="77777777" w:rsidR="0015062E" w:rsidRDefault="0015062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921E32"/>
    <w:multiLevelType w:val="hybridMultilevel"/>
    <w:tmpl w:val="3056B1AE"/>
    <w:lvl w:ilvl="0" w:tplc="036EE3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EF2309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1E0C9D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078869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E5ED5B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4569AB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B4A7D7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FFC8A8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1AEA90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4AFC7814"/>
    <w:multiLevelType w:val="hybridMultilevel"/>
    <w:tmpl w:val="C9869556"/>
    <w:lvl w:ilvl="0" w:tplc="B0DC63D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07ABF3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27498E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B9E93C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DC0D08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7D860F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4A15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BDA878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AD6C66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52D21660"/>
    <w:multiLevelType w:val="hybridMultilevel"/>
    <w:tmpl w:val="07801634"/>
    <w:lvl w:ilvl="0" w:tplc="34C253B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DAC959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E4EC82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54C2C6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18075B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7F8F5D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124971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18CBE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728901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385489294">
    <w:abstractNumId w:val="2"/>
  </w:num>
  <w:num w:numId="2" w16cid:durableId="1956330981">
    <w:abstractNumId w:val="2"/>
    <w:lvlOverride w:ilvl="0">
      <w:lvl w:ilvl="0" w:tplc="34C253B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tplc="EDAC959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tplc="2E4EC82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tplc="354C2C6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tplc="318075B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tplc="D7F8F5D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tplc="4124971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tplc="C18CBE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tplc="D728901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num>
  <w:num w:numId="3" w16cid:durableId="1387097840">
    <w:abstractNumId w:val="1"/>
  </w:num>
  <w:num w:numId="4" w16cid:durableId="2970316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62E"/>
    <w:rsid w:val="000C35D6"/>
    <w:rsid w:val="00107F1C"/>
    <w:rsid w:val="0015062E"/>
    <w:rsid w:val="002E0AAA"/>
    <w:rsid w:val="005A4B8A"/>
    <w:rsid w:val="0080474A"/>
    <w:rsid w:val="008A2FC0"/>
    <w:rsid w:val="008A678E"/>
    <w:rsid w:val="00C4272C"/>
    <w:rsid w:val="00E91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1CDF9"/>
  <w15:docId w15:val="{6CB0511B-26EA-F646-82DB-5218B187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libri" w:hAnsi="Calibri" w:cs="Arial Unicode MS"/>
      <w:color w:val="000000"/>
      <w:sz w:val="24"/>
      <w:szCs w:val="24"/>
      <w:u w:color="000000"/>
    </w:rPr>
  </w:style>
  <w:style w:type="paragraph" w:styleId="Caption">
    <w:name w:val="caption"/>
    <w:pPr>
      <w:suppressAutoHyphens/>
      <w:outlineLvl w:val="0"/>
    </w:pPr>
    <w:rPr>
      <w:rFonts w:ascii="Calibri" w:hAnsi="Calibri" w:cs="Arial Unicode MS"/>
      <w:color w:val="000000"/>
      <w:sz w:val="36"/>
      <w:szCs w:val="36"/>
    </w:rPr>
  </w:style>
  <w:style w:type="character" w:customStyle="1" w:styleId="Link">
    <w:name w:val="Link"/>
    <w:rPr>
      <w:color w:val="0563C1"/>
      <w:u w:val="single" w:color="0563C1"/>
      <w:lang w:val="en-US"/>
    </w:rPr>
  </w:style>
  <w:style w:type="paragraph" w:styleId="ListParagraph">
    <w:name w:val="List Paragraph"/>
    <w:pPr>
      <w:ind w:left="720"/>
    </w:pPr>
    <w:rPr>
      <w:rFonts w:ascii="Calibri" w:hAnsi="Calibri"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Words>
  <Characters>10</Characters>
  <Application>Microsoft Office Word</Application>
  <DocSecurity>0</DocSecurity>
  <Lines>1</Lines>
  <Paragraphs>1</Paragraphs>
  <ScaleCrop>false</ScaleCrop>
  <Company/>
  <LinksUpToDate>false</LinksUpToDate>
  <CharactersWithSpaces>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Marian Langhus</cp:lastModifiedBy>
  <cp:revision>2</cp:revision>
  <dcterms:created xsi:type="dcterms:W3CDTF">2022-08-18T21:42:00Z</dcterms:created>
  <dcterms:modified xsi:type="dcterms:W3CDTF">2022-08-18T21:42:00Z</dcterms:modified>
</cp:coreProperties>
</file>